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700" w:rsidRPr="00396B9D" w:rsidRDefault="00E01700" w:rsidP="00396B9D">
      <w:pPr>
        <w:jc w:val="center"/>
        <w:rPr>
          <w:rFonts w:cs="Times New Roman"/>
          <w:b/>
          <w:color w:val="222222"/>
          <w:szCs w:val="24"/>
          <w:shd w:val="clear" w:color="auto" w:fill="FFFFFF"/>
        </w:rPr>
      </w:pPr>
    </w:p>
    <w:p w:rsidR="00E01700" w:rsidRPr="00396B9D" w:rsidRDefault="00E01700" w:rsidP="00396B9D">
      <w:pPr>
        <w:jc w:val="center"/>
        <w:rPr>
          <w:rFonts w:cs="Times New Roman"/>
          <w:b/>
          <w:color w:val="222222"/>
          <w:szCs w:val="24"/>
          <w:shd w:val="clear" w:color="auto" w:fill="FFFFFF"/>
        </w:rPr>
      </w:pPr>
    </w:p>
    <w:p w:rsidR="00E01700" w:rsidRPr="00396B9D" w:rsidRDefault="00E01700" w:rsidP="00396B9D">
      <w:pPr>
        <w:jc w:val="center"/>
        <w:rPr>
          <w:rFonts w:cs="Times New Roman"/>
          <w:b/>
          <w:color w:val="222222"/>
          <w:szCs w:val="24"/>
          <w:shd w:val="clear" w:color="auto" w:fill="FFFFFF"/>
        </w:rPr>
      </w:pPr>
    </w:p>
    <w:p w:rsidR="00E01700" w:rsidRPr="00396B9D" w:rsidRDefault="00E01700" w:rsidP="00396B9D">
      <w:pPr>
        <w:ind w:firstLine="0"/>
        <w:rPr>
          <w:rFonts w:cs="Times New Roman"/>
          <w:b/>
          <w:color w:val="222222"/>
          <w:szCs w:val="24"/>
          <w:shd w:val="clear" w:color="auto" w:fill="FFFFFF"/>
        </w:rPr>
      </w:pPr>
    </w:p>
    <w:p w:rsidR="00E01700" w:rsidRPr="00396B9D" w:rsidRDefault="00E01700" w:rsidP="00396B9D">
      <w:pPr>
        <w:jc w:val="center"/>
        <w:rPr>
          <w:rFonts w:cs="Times New Roman"/>
          <w:b/>
          <w:color w:val="222222"/>
          <w:szCs w:val="24"/>
          <w:shd w:val="clear" w:color="auto" w:fill="FFFFFF"/>
        </w:rPr>
      </w:pPr>
    </w:p>
    <w:p w:rsidR="00E01700" w:rsidRPr="00396B9D" w:rsidRDefault="00BF6E1A" w:rsidP="00396B9D">
      <w:pPr>
        <w:jc w:val="center"/>
        <w:rPr>
          <w:rFonts w:cs="Times New Roman"/>
          <w:b/>
          <w:color w:val="222222"/>
          <w:szCs w:val="24"/>
          <w:shd w:val="clear" w:color="auto" w:fill="FFFFFF"/>
        </w:rPr>
      </w:pPr>
      <w:r w:rsidRPr="00396B9D">
        <w:rPr>
          <w:rFonts w:cs="Times New Roman"/>
          <w:b/>
          <w:color w:val="222222"/>
          <w:szCs w:val="24"/>
          <w:shd w:val="clear" w:color="auto" w:fill="FFFFFF"/>
        </w:rPr>
        <w:t>Thurman vs. Torringonton</w:t>
      </w:r>
    </w:p>
    <w:p w:rsidR="00AD0D89" w:rsidRPr="00396B9D" w:rsidRDefault="00AD0D89" w:rsidP="00396B9D">
      <w:pPr>
        <w:jc w:val="center"/>
        <w:rPr>
          <w:rFonts w:cs="Times New Roman"/>
          <w:b/>
          <w:szCs w:val="24"/>
        </w:rPr>
      </w:pPr>
    </w:p>
    <w:p w:rsidR="00E01700" w:rsidRPr="00396B9D" w:rsidRDefault="00BF6E1A" w:rsidP="00396B9D">
      <w:pPr>
        <w:jc w:val="center"/>
        <w:rPr>
          <w:rFonts w:cs="Times New Roman"/>
          <w:szCs w:val="24"/>
        </w:rPr>
      </w:pPr>
      <w:r w:rsidRPr="00396B9D">
        <w:rPr>
          <w:rFonts w:cs="Times New Roman"/>
          <w:szCs w:val="24"/>
        </w:rPr>
        <w:t xml:space="preserve">Name </w:t>
      </w:r>
    </w:p>
    <w:p w:rsidR="00AD0D89" w:rsidRPr="00396B9D" w:rsidRDefault="00BF6E1A" w:rsidP="00396B9D">
      <w:pPr>
        <w:jc w:val="center"/>
        <w:rPr>
          <w:rFonts w:cs="Times New Roman"/>
          <w:szCs w:val="24"/>
        </w:rPr>
      </w:pPr>
      <w:r w:rsidRPr="00396B9D">
        <w:rPr>
          <w:rFonts w:cs="Times New Roman"/>
          <w:szCs w:val="24"/>
        </w:rPr>
        <w:t>Institution</w:t>
      </w:r>
    </w:p>
    <w:p w:rsidR="00E01700" w:rsidRPr="00396B9D" w:rsidRDefault="00BF6E1A" w:rsidP="00396B9D">
      <w:pPr>
        <w:jc w:val="center"/>
        <w:rPr>
          <w:rFonts w:cs="Times New Roman"/>
          <w:szCs w:val="24"/>
        </w:rPr>
      </w:pPr>
      <w:r w:rsidRPr="00396B9D">
        <w:rPr>
          <w:rFonts w:cs="Times New Roman"/>
          <w:szCs w:val="24"/>
        </w:rPr>
        <w:t>Course</w:t>
      </w:r>
    </w:p>
    <w:p w:rsidR="00AD0D89" w:rsidRPr="00396B9D" w:rsidRDefault="00BF6E1A" w:rsidP="00396B9D">
      <w:pPr>
        <w:jc w:val="center"/>
        <w:rPr>
          <w:rFonts w:cs="Times New Roman"/>
          <w:szCs w:val="24"/>
        </w:rPr>
      </w:pPr>
      <w:r w:rsidRPr="00396B9D">
        <w:rPr>
          <w:rFonts w:cs="Times New Roman"/>
          <w:szCs w:val="24"/>
        </w:rPr>
        <w:t>Instructor</w:t>
      </w:r>
    </w:p>
    <w:p w:rsidR="00E01700" w:rsidRPr="00396B9D" w:rsidRDefault="00BF6E1A" w:rsidP="00396B9D">
      <w:pPr>
        <w:jc w:val="center"/>
        <w:rPr>
          <w:rFonts w:cs="Times New Roman"/>
          <w:szCs w:val="24"/>
        </w:rPr>
      </w:pPr>
      <w:r w:rsidRPr="00396B9D">
        <w:rPr>
          <w:rFonts w:cs="Times New Roman"/>
          <w:szCs w:val="24"/>
        </w:rPr>
        <w:t>Date</w:t>
      </w:r>
    </w:p>
    <w:p w:rsidR="00E01700" w:rsidRPr="00396B9D" w:rsidRDefault="00BF6E1A" w:rsidP="00396B9D">
      <w:pPr>
        <w:ind w:firstLine="0"/>
        <w:rPr>
          <w:rFonts w:cs="Times New Roman"/>
          <w:b/>
          <w:color w:val="222222"/>
          <w:szCs w:val="24"/>
          <w:shd w:val="clear" w:color="auto" w:fill="FFFFFF"/>
        </w:rPr>
      </w:pPr>
      <w:r w:rsidRPr="00396B9D">
        <w:rPr>
          <w:rFonts w:cs="Times New Roman"/>
          <w:b/>
          <w:color w:val="222222"/>
          <w:szCs w:val="24"/>
          <w:shd w:val="clear" w:color="auto" w:fill="FFFFFF"/>
        </w:rPr>
        <w:br w:type="page"/>
      </w:r>
    </w:p>
    <w:p w:rsidR="00421FF4" w:rsidRPr="00396B9D" w:rsidRDefault="00BF6E1A" w:rsidP="00396B9D">
      <w:pPr>
        <w:ind w:firstLine="0"/>
        <w:jc w:val="center"/>
        <w:rPr>
          <w:rFonts w:cs="Times New Roman"/>
          <w:b/>
          <w:szCs w:val="24"/>
        </w:rPr>
      </w:pPr>
      <w:r w:rsidRPr="00396B9D">
        <w:rPr>
          <w:rFonts w:cs="Times New Roman"/>
          <w:b/>
          <w:color w:val="222222"/>
          <w:szCs w:val="24"/>
          <w:shd w:val="clear" w:color="auto" w:fill="FFFFFF"/>
        </w:rPr>
        <w:lastRenderedPageBreak/>
        <w:t xml:space="preserve">Thurman vs. Torringonton </w:t>
      </w:r>
    </w:p>
    <w:p w:rsidR="00B411F9" w:rsidRPr="00396B9D" w:rsidRDefault="00BF6E1A" w:rsidP="00396B9D">
      <w:pPr>
        <w:ind w:firstLine="0"/>
        <w:rPr>
          <w:rFonts w:cs="Times New Roman"/>
          <w:szCs w:val="24"/>
        </w:rPr>
      </w:pPr>
      <w:r w:rsidRPr="00396B9D">
        <w:rPr>
          <w:rFonts w:cs="Times New Roman"/>
          <w:szCs w:val="24"/>
        </w:rPr>
        <w:tab/>
      </w:r>
      <w:r w:rsidR="00EE2A4C" w:rsidRPr="00396B9D">
        <w:rPr>
          <w:rFonts w:cs="Times New Roman"/>
          <w:szCs w:val="24"/>
        </w:rPr>
        <w:t xml:space="preserve">The case is about domestic violence between a husband and a wife. Tracy Thurman, a victim of extreme levels since she had to heal wounds that her husband had stabbed her. She had </w:t>
      </w:r>
      <w:r w:rsidR="00CB73C3" w:rsidRPr="00396B9D">
        <w:rPr>
          <w:rFonts w:cs="Times New Roman"/>
          <w:szCs w:val="24"/>
        </w:rPr>
        <w:t>contacted the</w:t>
      </w:r>
      <w:r w:rsidR="00EE2A4C" w:rsidRPr="00396B9D">
        <w:rPr>
          <w:rFonts w:cs="Times New Roman"/>
          <w:szCs w:val="24"/>
        </w:rPr>
        <w:t xml:space="preserve"> Torrington police offices to protect her from his </w:t>
      </w:r>
      <w:r w:rsidR="00CB73C3" w:rsidRPr="00396B9D">
        <w:rPr>
          <w:rFonts w:cs="Times New Roman"/>
          <w:szCs w:val="24"/>
        </w:rPr>
        <w:t>husband Charles</w:t>
      </w:r>
      <w:r w:rsidR="00EE2A4C" w:rsidRPr="00396B9D">
        <w:rPr>
          <w:rFonts w:cs="Times New Roman"/>
          <w:szCs w:val="24"/>
        </w:rPr>
        <w:t xml:space="preserve"> Thurman, who had been violating her rights by physically threatening her for eight months. </w:t>
      </w:r>
      <w:r w:rsidRPr="00396B9D">
        <w:rPr>
          <w:rFonts w:cs="Times New Roman"/>
          <w:szCs w:val="24"/>
        </w:rPr>
        <w:t>However, t</w:t>
      </w:r>
      <w:r w:rsidR="00EE2A4C" w:rsidRPr="00396B9D">
        <w:rPr>
          <w:rFonts w:cs="Times New Roman"/>
          <w:szCs w:val="24"/>
        </w:rPr>
        <w:t xml:space="preserve">he police </w:t>
      </w:r>
      <w:r w:rsidR="00CB73C3" w:rsidRPr="00396B9D">
        <w:rPr>
          <w:rFonts w:cs="Times New Roman"/>
          <w:szCs w:val="24"/>
        </w:rPr>
        <w:t>department</w:t>
      </w:r>
      <w:r w:rsidR="00EE2A4C" w:rsidRPr="00396B9D">
        <w:rPr>
          <w:rFonts w:cs="Times New Roman"/>
          <w:szCs w:val="24"/>
        </w:rPr>
        <w:t xml:space="preserve"> ignored her request to be protected from violence despite her efforts to reach out until Charles Thurman stubbed her in the face, back, and neck, then throwing their child on top of the mother</w:t>
      </w:r>
      <w:r w:rsidR="00B56920" w:rsidRPr="00396B9D">
        <w:rPr>
          <w:rFonts w:cs="Times New Roman"/>
          <w:szCs w:val="24"/>
        </w:rPr>
        <w:t xml:space="preserve"> (Barner &amp; Carney, 2011).</w:t>
      </w:r>
      <w:r w:rsidR="00EE2A4C" w:rsidRPr="00396B9D">
        <w:rPr>
          <w:rFonts w:cs="Times New Roman"/>
          <w:szCs w:val="24"/>
        </w:rPr>
        <w:t xml:space="preserve"> </w:t>
      </w:r>
      <w:r w:rsidRPr="00396B9D">
        <w:rPr>
          <w:rFonts w:cs="Times New Roman"/>
          <w:szCs w:val="24"/>
        </w:rPr>
        <w:t xml:space="preserve">Fortunately, </w:t>
      </w:r>
      <w:r w:rsidR="00EE2A4C" w:rsidRPr="00396B9D">
        <w:rPr>
          <w:rFonts w:cs="Times New Roman"/>
          <w:szCs w:val="24"/>
        </w:rPr>
        <w:t xml:space="preserve">Tracy Thurman did not die and she claims police violated her right to equal protection. She raised a claim to have the Torrington police held liable for failing to protect her after asking them out numerous times. Tracy Thurman was paid $2.3million as compensation after violating her right by the Torrington police department. </w:t>
      </w:r>
    </w:p>
    <w:p w:rsidR="006D4804" w:rsidRPr="00396B9D" w:rsidRDefault="00BF6E1A" w:rsidP="00396B9D">
      <w:pPr>
        <w:ind w:firstLine="0"/>
        <w:rPr>
          <w:rFonts w:cs="Times New Roman"/>
          <w:szCs w:val="24"/>
        </w:rPr>
      </w:pPr>
      <w:r w:rsidRPr="00396B9D">
        <w:rPr>
          <w:rFonts w:cs="Times New Roman"/>
          <w:szCs w:val="24"/>
        </w:rPr>
        <w:tab/>
      </w:r>
      <w:r w:rsidR="00EE2A4C" w:rsidRPr="00396B9D">
        <w:rPr>
          <w:rFonts w:cs="Times New Roman"/>
          <w:szCs w:val="24"/>
        </w:rPr>
        <w:t>Protective and restraining order are divorce laws defined to serve different purposes of servin</w:t>
      </w:r>
      <w:r w:rsidRPr="00396B9D">
        <w:rPr>
          <w:rFonts w:cs="Times New Roman"/>
          <w:szCs w:val="24"/>
        </w:rPr>
        <w:t xml:space="preserve">g domestic violence in a home. </w:t>
      </w:r>
      <w:r w:rsidR="00EE2A4C" w:rsidRPr="00396B9D">
        <w:rPr>
          <w:rFonts w:cs="Times New Roman"/>
          <w:szCs w:val="24"/>
        </w:rPr>
        <w:t xml:space="preserve">The protective order is a domestic violence interdict law that tells the victim that </w:t>
      </w:r>
      <w:r w:rsidRPr="00396B9D">
        <w:rPr>
          <w:rFonts w:cs="Times New Roman"/>
          <w:szCs w:val="24"/>
        </w:rPr>
        <w:t xml:space="preserve">they are </w:t>
      </w:r>
      <w:r w:rsidR="00EE2A4C" w:rsidRPr="00396B9D">
        <w:rPr>
          <w:rFonts w:cs="Times New Roman"/>
          <w:szCs w:val="24"/>
        </w:rPr>
        <w:t>protected from the abuser visiting them or living under the same roof</w:t>
      </w:r>
      <w:r w:rsidR="00A02382" w:rsidRPr="00396B9D">
        <w:rPr>
          <w:rFonts w:cs="Times New Roman"/>
          <w:szCs w:val="24"/>
        </w:rPr>
        <w:t xml:space="preserve"> (</w:t>
      </w:r>
      <w:r w:rsidR="00A02382" w:rsidRPr="00396B9D">
        <w:rPr>
          <w:rFonts w:cs="Times New Roman"/>
          <w:color w:val="222222"/>
          <w:szCs w:val="24"/>
          <w:shd w:val="clear" w:color="auto" w:fill="FFFFFF"/>
        </w:rPr>
        <w:t>Hayes, 2020)</w:t>
      </w:r>
      <w:r w:rsidR="00EE2A4C" w:rsidRPr="00396B9D">
        <w:rPr>
          <w:rFonts w:cs="Times New Roman"/>
          <w:szCs w:val="24"/>
        </w:rPr>
        <w:t>. The chances of being abused by a p</w:t>
      </w:r>
      <w:r w:rsidRPr="00396B9D">
        <w:rPr>
          <w:rFonts w:cs="Times New Roman"/>
          <w:szCs w:val="24"/>
        </w:rPr>
        <w:t>erson who h</w:t>
      </w:r>
      <w:r w:rsidR="00EE2A4C" w:rsidRPr="00396B9D">
        <w:rPr>
          <w:rFonts w:cs="Times New Roman"/>
          <w:szCs w:val="24"/>
        </w:rPr>
        <w:t xml:space="preserve">as done it </w:t>
      </w:r>
      <w:r w:rsidRPr="00396B9D">
        <w:rPr>
          <w:rFonts w:cs="Times New Roman"/>
          <w:szCs w:val="24"/>
        </w:rPr>
        <w:t>before are high. On the other hand, a r</w:t>
      </w:r>
      <w:r w:rsidR="00EE2A4C" w:rsidRPr="00396B9D">
        <w:rPr>
          <w:rFonts w:cs="Times New Roman"/>
          <w:szCs w:val="24"/>
        </w:rPr>
        <w:t>estraining order serves the same task by holding the abuser away from their family to ensure that they are well and safe. The two orders serve the victim from more harm to also build peace of mind for them.</w:t>
      </w:r>
    </w:p>
    <w:p w:rsidR="00421FF4" w:rsidRPr="00396B9D" w:rsidRDefault="00BF6E1A" w:rsidP="00396B9D">
      <w:pPr>
        <w:ind w:firstLine="0"/>
        <w:jc w:val="center"/>
        <w:rPr>
          <w:rFonts w:cs="Times New Roman"/>
          <w:b/>
          <w:szCs w:val="24"/>
        </w:rPr>
      </w:pPr>
      <w:r w:rsidRPr="00396B9D">
        <w:rPr>
          <w:rFonts w:cs="Times New Roman"/>
          <w:b/>
          <w:szCs w:val="24"/>
        </w:rPr>
        <w:t>Consanguinity and Affinity</w:t>
      </w:r>
    </w:p>
    <w:p w:rsidR="00421FF4" w:rsidRPr="00396B9D" w:rsidRDefault="00BF6E1A" w:rsidP="00396B9D">
      <w:pPr>
        <w:ind w:firstLine="0"/>
        <w:rPr>
          <w:rFonts w:cs="Times New Roman"/>
          <w:szCs w:val="24"/>
        </w:rPr>
      </w:pPr>
      <w:r w:rsidRPr="00396B9D">
        <w:rPr>
          <w:rFonts w:cs="Times New Roman"/>
          <w:szCs w:val="24"/>
        </w:rPr>
        <w:tab/>
      </w:r>
      <w:r w:rsidR="00EE2A4C" w:rsidRPr="00396B9D">
        <w:rPr>
          <w:rFonts w:cs="Times New Roman"/>
          <w:szCs w:val="24"/>
        </w:rPr>
        <w:t xml:space="preserve">Consanguinity is a phrase that means people who are involved in </w:t>
      </w:r>
      <w:r w:rsidR="00C76FC2" w:rsidRPr="00396B9D">
        <w:rPr>
          <w:rFonts w:cs="Times New Roman"/>
          <w:szCs w:val="24"/>
        </w:rPr>
        <w:t>domestic</w:t>
      </w:r>
      <w:r w:rsidR="00EE2A4C" w:rsidRPr="00396B9D">
        <w:rPr>
          <w:rFonts w:cs="Times New Roman"/>
          <w:szCs w:val="24"/>
        </w:rPr>
        <w:t xml:space="preserve"> violence and have blood relations. For instance, one may be subjected to a restraining order under consanguinity, meaning that the parties involved are related by blood. However, affinity is a relation between the two parties but is not related by blood</w:t>
      </w:r>
      <w:r w:rsidR="00A02382" w:rsidRPr="00396B9D">
        <w:rPr>
          <w:rFonts w:cs="Times New Roman"/>
          <w:szCs w:val="24"/>
        </w:rPr>
        <w:t xml:space="preserve"> (</w:t>
      </w:r>
      <w:r w:rsidR="00A02382" w:rsidRPr="00396B9D">
        <w:rPr>
          <w:rFonts w:cs="Times New Roman"/>
          <w:color w:val="222222"/>
          <w:szCs w:val="24"/>
          <w:shd w:val="clear" w:color="auto" w:fill="FFFFFF"/>
        </w:rPr>
        <w:t>O'Sullivan, 2019)</w:t>
      </w:r>
      <w:r w:rsidR="00EE2A4C" w:rsidRPr="00396B9D">
        <w:rPr>
          <w:rFonts w:cs="Times New Roman"/>
          <w:szCs w:val="24"/>
        </w:rPr>
        <w:t xml:space="preserve">. For </w:t>
      </w:r>
      <w:r w:rsidR="00C76FC2" w:rsidRPr="00396B9D">
        <w:rPr>
          <w:rFonts w:cs="Times New Roman"/>
          <w:szCs w:val="24"/>
        </w:rPr>
        <w:t xml:space="preserve">instance, one </w:t>
      </w:r>
      <w:r w:rsidR="00C76FC2" w:rsidRPr="00396B9D">
        <w:rPr>
          <w:rFonts w:cs="Times New Roman"/>
          <w:szCs w:val="24"/>
        </w:rPr>
        <w:lastRenderedPageBreak/>
        <w:t xml:space="preserve">may be subjected to a protective order based on affinity relations that are not by blood but kinship. </w:t>
      </w:r>
    </w:p>
    <w:p w:rsidR="00421FF4" w:rsidRPr="00396B9D" w:rsidRDefault="00BF6E1A" w:rsidP="00396B9D">
      <w:pPr>
        <w:ind w:firstLine="0"/>
        <w:jc w:val="center"/>
        <w:rPr>
          <w:rFonts w:cs="Times New Roman"/>
          <w:b/>
          <w:szCs w:val="24"/>
        </w:rPr>
      </w:pPr>
      <w:r w:rsidRPr="00396B9D">
        <w:rPr>
          <w:rFonts w:cs="Times New Roman"/>
          <w:b/>
          <w:szCs w:val="24"/>
        </w:rPr>
        <w:t>Pro</w:t>
      </w:r>
      <w:r w:rsidRPr="00396B9D">
        <w:rPr>
          <w:rFonts w:cs="Times New Roman"/>
          <w:b/>
          <w:szCs w:val="24"/>
        </w:rPr>
        <w:t>tective O</w:t>
      </w:r>
      <w:r w:rsidR="00EE2A4C" w:rsidRPr="00396B9D">
        <w:rPr>
          <w:rFonts w:cs="Times New Roman"/>
          <w:b/>
          <w:szCs w:val="24"/>
        </w:rPr>
        <w:t>rders</w:t>
      </w:r>
    </w:p>
    <w:p w:rsidR="00C76FC2" w:rsidRPr="00396B9D" w:rsidRDefault="00BF6E1A" w:rsidP="00396B9D">
      <w:pPr>
        <w:ind w:firstLine="0"/>
        <w:rPr>
          <w:rFonts w:cs="Times New Roman"/>
          <w:szCs w:val="24"/>
        </w:rPr>
      </w:pPr>
      <w:r w:rsidRPr="00396B9D">
        <w:rPr>
          <w:rFonts w:cs="Times New Roman"/>
          <w:szCs w:val="24"/>
        </w:rPr>
        <w:tab/>
      </w:r>
      <w:r w:rsidR="00EE2A4C" w:rsidRPr="00396B9D">
        <w:rPr>
          <w:rFonts w:cs="Times New Roman"/>
          <w:szCs w:val="24"/>
        </w:rPr>
        <w:t xml:space="preserve">There </w:t>
      </w:r>
      <w:r w:rsidR="00FC5A0B">
        <w:rPr>
          <w:rFonts w:cs="Times New Roman"/>
          <w:szCs w:val="24"/>
        </w:rPr>
        <w:t xml:space="preserve">exists </w:t>
      </w:r>
      <w:r w:rsidR="00EE2A4C" w:rsidRPr="00396B9D">
        <w:rPr>
          <w:rFonts w:cs="Times New Roman"/>
          <w:szCs w:val="24"/>
        </w:rPr>
        <w:t>several types of protective o</w:t>
      </w:r>
      <w:r w:rsidR="00FC5A0B">
        <w:rPr>
          <w:rFonts w:cs="Times New Roman"/>
          <w:szCs w:val="24"/>
        </w:rPr>
        <w:t xml:space="preserve">rders which are </w:t>
      </w:r>
      <w:r w:rsidR="00994DCE">
        <w:rPr>
          <w:rFonts w:cs="Times New Roman"/>
          <w:szCs w:val="24"/>
        </w:rPr>
        <w:t>given</w:t>
      </w:r>
      <w:bookmarkStart w:id="0" w:name="_GoBack"/>
      <w:bookmarkEnd w:id="0"/>
      <w:r w:rsidR="00FC5A0B">
        <w:rPr>
          <w:rFonts w:cs="Times New Roman"/>
          <w:szCs w:val="24"/>
        </w:rPr>
        <w:t xml:space="preserve"> to guard </w:t>
      </w:r>
      <w:r w:rsidR="00EE2A4C" w:rsidRPr="00396B9D">
        <w:rPr>
          <w:rFonts w:cs="Times New Roman"/>
          <w:szCs w:val="24"/>
        </w:rPr>
        <w:t>domestic violence</w:t>
      </w:r>
      <w:r w:rsidR="00FC5A0B">
        <w:rPr>
          <w:rFonts w:cs="Times New Roman"/>
          <w:szCs w:val="24"/>
        </w:rPr>
        <w:t xml:space="preserve"> victims</w:t>
      </w:r>
      <w:r w:rsidR="00EE2A4C" w:rsidRPr="00396B9D">
        <w:rPr>
          <w:rFonts w:cs="Times New Roman"/>
          <w:szCs w:val="24"/>
        </w:rPr>
        <w:t>. An emergency protective order is granted upon request of a victim, a guardian, peace officer, or a distric</w:t>
      </w:r>
      <w:r w:rsidR="00CB73C3" w:rsidRPr="00396B9D">
        <w:rPr>
          <w:rFonts w:cs="Times New Roman"/>
          <w:szCs w:val="24"/>
        </w:rPr>
        <w:t>t</w:t>
      </w:r>
      <w:r w:rsidR="00EE2A4C" w:rsidRPr="00396B9D">
        <w:rPr>
          <w:rFonts w:cs="Times New Roman"/>
          <w:szCs w:val="24"/>
        </w:rPr>
        <w:t xml:space="preserve"> attorney in Texas. The court's emergency </w:t>
      </w:r>
      <w:r w:rsidR="00CB73C3" w:rsidRPr="00396B9D">
        <w:rPr>
          <w:rFonts w:cs="Times New Roman"/>
          <w:szCs w:val="24"/>
        </w:rPr>
        <w:t>protective</w:t>
      </w:r>
      <w:r w:rsidR="00EE2A4C" w:rsidRPr="00396B9D">
        <w:rPr>
          <w:rFonts w:cs="Times New Roman"/>
          <w:szCs w:val="24"/>
        </w:rPr>
        <w:t xml:space="preserve"> orders are usually valid for 90 days and not less than 60 days</w:t>
      </w:r>
      <w:r w:rsidR="00E01700" w:rsidRPr="00396B9D">
        <w:rPr>
          <w:rFonts w:cs="Times New Roman"/>
          <w:szCs w:val="24"/>
        </w:rPr>
        <w:t xml:space="preserve"> (</w:t>
      </w:r>
      <w:r w:rsidR="00A02382" w:rsidRPr="00396B9D">
        <w:rPr>
          <w:rFonts w:cs="Times New Roman"/>
          <w:color w:val="222222"/>
          <w:szCs w:val="24"/>
          <w:shd w:val="clear" w:color="auto" w:fill="FFFFFF"/>
        </w:rPr>
        <w:t>Hayes, 2020</w:t>
      </w:r>
      <w:r w:rsidR="00E01700" w:rsidRPr="00396B9D">
        <w:rPr>
          <w:rFonts w:cs="Times New Roman"/>
          <w:szCs w:val="24"/>
        </w:rPr>
        <w:t>)</w:t>
      </w:r>
      <w:r w:rsidR="00EE2A4C" w:rsidRPr="00396B9D">
        <w:rPr>
          <w:rFonts w:cs="Times New Roman"/>
          <w:szCs w:val="24"/>
        </w:rPr>
        <w:t xml:space="preserve">. </w:t>
      </w:r>
      <w:r w:rsidR="00CB73C3" w:rsidRPr="00396B9D">
        <w:rPr>
          <w:rFonts w:cs="Times New Roman"/>
          <w:szCs w:val="24"/>
        </w:rPr>
        <w:t>They also require the arrest of a suspect upon issuance. Permanent protective orders are usually issued for a period not exceeding two years, mostly issued if sexual assault is involved. Also, when sexual assault is involved, a protective order is usually valid for a lifetime. Where a case is involved, the susp</w:t>
      </w:r>
      <w:r w:rsidRPr="00396B9D">
        <w:rPr>
          <w:rFonts w:cs="Times New Roman"/>
          <w:szCs w:val="24"/>
        </w:rPr>
        <w:t>ects are usually not involved, bu</w:t>
      </w:r>
      <w:r w:rsidR="00CB73C3" w:rsidRPr="00396B9D">
        <w:rPr>
          <w:rFonts w:cs="Times New Roman"/>
          <w:szCs w:val="24"/>
        </w:rPr>
        <w:t xml:space="preserve">t their legal practitioners and lawyers, in particular, represent them.  </w:t>
      </w:r>
      <w:r w:rsidR="00421FF4" w:rsidRPr="00396B9D">
        <w:rPr>
          <w:rFonts w:cs="Times New Roman"/>
          <w:szCs w:val="24"/>
        </w:rPr>
        <w:t>\</w:t>
      </w:r>
    </w:p>
    <w:p w:rsidR="00421FF4" w:rsidRPr="00396B9D" w:rsidRDefault="00BF6E1A" w:rsidP="00396B9D">
      <w:pPr>
        <w:rPr>
          <w:rFonts w:cs="Times New Roman"/>
          <w:szCs w:val="24"/>
        </w:rPr>
      </w:pPr>
      <w:r w:rsidRPr="00396B9D">
        <w:rPr>
          <w:rFonts w:cs="Times New Roman"/>
          <w:szCs w:val="24"/>
        </w:rPr>
        <w:br w:type="page"/>
      </w:r>
    </w:p>
    <w:p w:rsidR="00421FF4" w:rsidRPr="00396B9D" w:rsidRDefault="00BF6E1A" w:rsidP="00396B9D">
      <w:pPr>
        <w:ind w:firstLine="0"/>
        <w:jc w:val="center"/>
        <w:rPr>
          <w:rFonts w:cs="Times New Roman"/>
          <w:b/>
          <w:szCs w:val="24"/>
        </w:rPr>
      </w:pPr>
      <w:r w:rsidRPr="00396B9D">
        <w:rPr>
          <w:rFonts w:cs="Times New Roman"/>
          <w:b/>
          <w:szCs w:val="24"/>
        </w:rPr>
        <w:lastRenderedPageBreak/>
        <w:t>References</w:t>
      </w:r>
    </w:p>
    <w:p w:rsidR="00421FF4" w:rsidRPr="00396B9D" w:rsidRDefault="00BF6E1A" w:rsidP="00396B9D">
      <w:pPr>
        <w:ind w:left="720" w:hanging="720"/>
        <w:rPr>
          <w:rFonts w:cs="Times New Roman"/>
          <w:szCs w:val="24"/>
        </w:rPr>
      </w:pPr>
      <w:r w:rsidRPr="00396B9D">
        <w:rPr>
          <w:rFonts w:cs="Times New Roman"/>
          <w:szCs w:val="24"/>
        </w:rPr>
        <w:t>Barner, J. R., &amp; Carney, M. M. (2011). Interventions for intimate partner violence: A historical review. Journal of family violence, 26(3), 235-244.</w:t>
      </w:r>
    </w:p>
    <w:p w:rsidR="00E01700" w:rsidRPr="00396B9D" w:rsidRDefault="00BF6E1A" w:rsidP="00396B9D">
      <w:pPr>
        <w:ind w:left="720" w:hanging="720"/>
        <w:rPr>
          <w:rFonts w:cs="Times New Roman"/>
          <w:color w:val="222222"/>
          <w:szCs w:val="24"/>
          <w:shd w:val="clear" w:color="auto" w:fill="FFFFFF"/>
        </w:rPr>
      </w:pPr>
      <w:r w:rsidRPr="00396B9D">
        <w:rPr>
          <w:rFonts w:cs="Times New Roman"/>
          <w:color w:val="222222"/>
          <w:szCs w:val="24"/>
          <w:shd w:val="clear" w:color="auto" w:fill="FFFFFF"/>
        </w:rPr>
        <w:t>Hayes, A. F. (2020). </w:t>
      </w:r>
      <w:r w:rsidRPr="00396B9D">
        <w:rPr>
          <w:rFonts w:cs="Times New Roman"/>
          <w:i/>
          <w:iCs/>
          <w:color w:val="222222"/>
          <w:szCs w:val="24"/>
          <w:shd w:val="clear" w:color="auto" w:fill="FFFFFF"/>
        </w:rPr>
        <w:t>Female Domestic Violence Victims' Perceptions of the Effectiveness</w:t>
      </w:r>
      <w:r w:rsidRPr="00396B9D">
        <w:rPr>
          <w:rFonts w:cs="Times New Roman"/>
          <w:i/>
          <w:iCs/>
          <w:color w:val="222222"/>
          <w:szCs w:val="24"/>
          <w:shd w:val="clear" w:color="auto" w:fill="FFFFFF"/>
        </w:rPr>
        <w:t xml:space="preserve"> of Protective Orders</w:t>
      </w:r>
      <w:r w:rsidRPr="00396B9D">
        <w:rPr>
          <w:rFonts w:cs="Times New Roman"/>
          <w:color w:val="222222"/>
          <w:szCs w:val="24"/>
          <w:shd w:val="clear" w:color="auto" w:fill="FFFFFF"/>
        </w:rPr>
        <w:t> (Doctoral dissertation, Walden University).</w:t>
      </w:r>
    </w:p>
    <w:p w:rsidR="00A02382" w:rsidRPr="00396B9D" w:rsidRDefault="00BF6E1A" w:rsidP="00396B9D">
      <w:pPr>
        <w:ind w:left="720" w:hanging="720"/>
        <w:rPr>
          <w:rFonts w:cs="Times New Roman"/>
          <w:szCs w:val="24"/>
        </w:rPr>
      </w:pPr>
      <w:r w:rsidRPr="00396B9D">
        <w:rPr>
          <w:rFonts w:cs="Times New Roman"/>
          <w:color w:val="222222"/>
          <w:szCs w:val="24"/>
          <w:shd w:val="clear" w:color="auto" w:fill="FFFFFF"/>
        </w:rPr>
        <w:t>O'Sullivan, K. (2019). Access to marriage: consanguinity and affinity prohibitions in national and international context.</w:t>
      </w:r>
    </w:p>
    <w:sectPr w:rsidR="00A02382" w:rsidRPr="00396B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1A" w:rsidRDefault="00BF6E1A">
      <w:pPr>
        <w:spacing w:line="240" w:lineRule="auto"/>
      </w:pPr>
      <w:r>
        <w:separator/>
      </w:r>
    </w:p>
  </w:endnote>
  <w:endnote w:type="continuationSeparator" w:id="0">
    <w:p w:rsidR="00BF6E1A" w:rsidRDefault="00BF6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1A" w:rsidRDefault="00BF6E1A">
      <w:pPr>
        <w:spacing w:line="240" w:lineRule="auto"/>
      </w:pPr>
      <w:r>
        <w:separator/>
      </w:r>
    </w:p>
  </w:footnote>
  <w:footnote w:type="continuationSeparator" w:id="0">
    <w:p w:rsidR="00BF6E1A" w:rsidRDefault="00BF6E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282447"/>
      <w:docPartObj>
        <w:docPartGallery w:val="Page Numbers (Top of Page)"/>
        <w:docPartUnique/>
      </w:docPartObj>
    </w:sdtPr>
    <w:sdtEndPr>
      <w:rPr>
        <w:noProof/>
      </w:rPr>
    </w:sdtEndPr>
    <w:sdtContent>
      <w:p w:rsidR="00E01700" w:rsidRDefault="00BF6E1A">
        <w:pPr>
          <w:pStyle w:val="Header"/>
          <w:jc w:val="right"/>
        </w:pPr>
        <w:r>
          <w:fldChar w:fldCharType="begin"/>
        </w:r>
        <w:r>
          <w:instrText xml:space="preserve"> PAGE   \* MERGEFORMAT </w:instrText>
        </w:r>
        <w:r>
          <w:fldChar w:fldCharType="separate"/>
        </w:r>
        <w:r w:rsidR="00994DCE">
          <w:rPr>
            <w:noProof/>
          </w:rPr>
          <w:t>4</w:t>
        </w:r>
        <w:r>
          <w:rPr>
            <w:noProof/>
          </w:rPr>
          <w:fldChar w:fldCharType="end"/>
        </w:r>
      </w:p>
    </w:sdtContent>
  </w:sdt>
  <w:p w:rsidR="00E01700" w:rsidRDefault="00E01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92"/>
    <w:rsid w:val="0015733A"/>
    <w:rsid w:val="001B3EEE"/>
    <w:rsid w:val="002E5992"/>
    <w:rsid w:val="00396B9D"/>
    <w:rsid w:val="00421FF4"/>
    <w:rsid w:val="004859BB"/>
    <w:rsid w:val="006D4804"/>
    <w:rsid w:val="007B3828"/>
    <w:rsid w:val="008F1DB2"/>
    <w:rsid w:val="00994DCE"/>
    <w:rsid w:val="00A02382"/>
    <w:rsid w:val="00AD0D89"/>
    <w:rsid w:val="00B411F9"/>
    <w:rsid w:val="00B56920"/>
    <w:rsid w:val="00BE047F"/>
    <w:rsid w:val="00BF6E1A"/>
    <w:rsid w:val="00C76FC2"/>
    <w:rsid w:val="00CB73C3"/>
    <w:rsid w:val="00D219FA"/>
    <w:rsid w:val="00E01700"/>
    <w:rsid w:val="00EE2A4C"/>
    <w:rsid w:val="00FC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C023B-90CD-4C34-93ED-36EDEFB8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700"/>
    <w:pPr>
      <w:tabs>
        <w:tab w:val="center" w:pos="4680"/>
        <w:tab w:val="right" w:pos="9360"/>
      </w:tabs>
      <w:spacing w:line="240" w:lineRule="auto"/>
    </w:pPr>
  </w:style>
  <w:style w:type="character" w:customStyle="1" w:styleId="HeaderChar">
    <w:name w:val="Header Char"/>
    <w:basedOn w:val="DefaultParagraphFont"/>
    <w:link w:val="Header"/>
    <w:uiPriority w:val="99"/>
    <w:rsid w:val="00E01700"/>
  </w:style>
  <w:style w:type="paragraph" w:styleId="Footer">
    <w:name w:val="footer"/>
    <w:basedOn w:val="Normal"/>
    <w:link w:val="FooterChar"/>
    <w:uiPriority w:val="99"/>
    <w:unhideWhenUsed/>
    <w:rsid w:val="00E01700"/>
    <w:pPr>
      <w:tabs>
        <w:tab w:val="center" w:pos="4680"/>
        <w:tab w:val="right" w:pos="9360"/>
      </w:tabs>
      <w:spacing w:line="240" w:lineRule="auto"/>
    </w:pPr>
  </w:style>
  <w:style w:type="character" w:customStyle="1" w:styleId="FooterChar">
    <w:name w:val="Footer Char"/>
    <w:basedOn w:val="DefaultParagraphFont"/>
    <w:link w:val="Footer"/>
    <w:uiPriority w:val="99"/>
    <w:rsid w:val="00E0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10</cp:revision>
  <dcterms:created xsi:type="dcterms:W3CDTF">2021-02-24T13:46:00Z</dcterms:created>
  <dcterms:modified xsi:type="dcterms:W3CDTF">2021-02-24T16:41:00Z</dcterms:modified>
</cp:coreProperties>
</file>